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6D" w:rsidRDefault="00D1126D" w:rsidP="00D1126D">
      <w:pPr>
        <w:pStyle w:val="berschrift1"/>
      </w:pPr>
      <w:r>
        <w:t>Protokoll Schulung Backup Manpower</w:t>
      </w:r>
    </w:p>
    <w:tbl>
      <w:tblPr>
        <w:tblStyle w:val="Tabellengitternetz"/>
        <w:tblW w:w="15134" w:type="dxa"/>
        <w:tblLook w:val="04A0"/>
      </w:tblPr>
      <w:tblGrid>
        <w:gridCol w:w="1590"/>
        <w:gridCol w:w="937"/>
        <w:gridCol w:w="763"/>
        <w:gridCol w:w="11844"/>
      </w:tblGrid>
      <w:tr w:rsidR="00D1126D" w:rsidTr="00D1126D">
        <w:tc>
          <w:tcPr>
            <w:tcW w:w="1526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Schulungstag</w:t>
            </w:r>
          </w:p>
        </w:tc>
        <w:tc>
          <w:tcPr>
            <w:tcW w:w="910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Beginn</w:t>
            </w:r>
          </w:p>
        </w:tc>
        <w:tc>
          <w:tcPr>
            <w:tcW w:w="710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Ende</w:t>
            </w:r>
          </w:p>
        </w:tc>
        <w:tc>
          <w:tcPr>
            <w:tcW w:w="11988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Inhalt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>
            <w:r>
              <w:t>12.07.2014</w:t>
            </w:r>
          </w:p>
        </w:tc>
        <w:tc>
          <w:tcPr>
            <w:tcW w:w="910" w:type="dxa"/>
          </w:tcPr>
          <w:p w:rsidR="00D1126D" w:rsidRDefault="00D1126D" w:rsidP="00D1126D">
            <w:r>
              <w:t>8:30</w:t>
            </w:r>
          </w:p>
        </w:tc>
        <w:tc>
          <w:tcPr>
            <w:tcW w:w="710" w:type="dxa"/>
          </w:tcPr>
          <w:p w:rsidR="00D1126D" w:rsidRDefault="00D1126D" w:rsidP="00D1126D">
            <w:r>
              <w:t>13:00</w:t>
            </w:r>
          </w:p>
        </w:tc>
        <w:tc>
          <w:tcPr>
            <w:tcW w:w="11988" w:type="dxa"/>
          </w:tcPr>
          <w:p w:rsidR="00D1126D" w:rsidRDefault="00D1126D" w:rsidP="00D1126D">
            <w:r>
              <w:t>Erklärung der Systemp</w:t>
            </w:r>
            <w:r w:rsidRPr="00D1126D">
              <w:t>r</w:t>
            </w:r>
            <w:r>
              <w:t>o</w:t>
            </w:r>
            <w:r w:rsidRPr="00D1126D">
              <w:t>gramme und deren Einstellungsmöglichkeiten, Systemkonfiguration, Einstellungen von userspezifischen Einstellungen, Toolbar und Layout</w:t>
            </w:r>
            <w:r>
              <w:t>-E</w:t>
            </w:r>
            <w:r w:rsidRPr="00D1126D">
              <w:t>instellungen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/>
        </w:tc>
        <w:tc>
          <w:tcPr>
            <w:tcW w:w="910" w:type="dxa"/>
          </w:tcPr>
          <w:p w:rsidR="00D1126D" w:rsidRDefault="00D1126D" w:rsidP="00D1126D"/>
        </w:tc>
        <w:tc>
          <w:tcPr>
            <w:tcW w:w="710" w:type="dxa"/>
          </w:tcPr>
          <w:p w:rsidR="00D1126D" w:rsidRDefault="00D1126D" w:rsidP="00D1126D"/>
        </w:tc>
        <w:tc>
          <w:tcPr>
            <w:tcW w:w="11988" w:type="dxa"/>
          </w:tcPr>
          <w:p w:rsidR="00D1126D" w:rsidRDefault="00D1126D" w:rsidP="00D1126D">
            <w:r w:rsidRPr="00D1126D">
              <w:t>Benutzerverwaltung und Einstellen der Berechtigungen und Drucker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/>
        </w:tc>
        <w:tc>
          <w:tcPr>
            <w:tcW w:w="910" w:type="dxa"/>
          </w:tcPr>
          <w:p w:rsidR="00D1126D" w:rsidRDefault="00D1126D" w:rsidP="00D1126D"/>
        </w:tc>
        <w:tc>
          <w:tcPr>
            <w:tcW w:w="710" w:type="dxa"/>
          </w:tcPr>
          <w:p w:rsidR="00D1126D" w:rsidRDefault="00D1126D" w:rsidP="00D1126D"/>
        </w:tc>
        <w:tc>
          <w:tcPr>
            <w:tcW w:w="11988" w:type="dxa"/>
          </w:tcPr>
          <w:p w:rsidR="00D1126D" w:rsidRP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Allgemeine Stammdaten und deren Bedeutung für andere Module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/>
        </w:tc>
        <w:tc>
          <w:tcPr>
            <w:tcW w:w="910" w:type="dxa"/>
          </w:tcPr>
          <w:p w:rsidR="00D1126D" w:rsidRDefault="00D1126D" w:rsidP="00D1126D"/>
        </w:tc>
        <w:tc>
          <w:tcPr>
            <w:tcW w:w="710" w:type="dxa"/>
          </w:tcPr>
          <w:p w:rsidR="00D1126D" w:rsidRDefault="00D1126D" w:rsidP="00D1126D"/>
        </w:tc>
        <w:tc>
          <w:tcPr>
            <w:tcW w:w="11988" w:type="dxa"/>
          </w:tcPr>
          <w:p w:rsid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Erklärung der Menüstruktur und deren speziellen Stammdaten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>
            <w:r>
              <w:t>13.07.2014</w:t>
            </w:r>
          </w:p>
        </w:tc>
        <w:tc>
          <w:tcPr>
            <w:tcW w:w="910" w:type="dxa"/>
          </w:tcPr>
          <w:p w:rsidR="00D1126D" w:rsidRDefault="00D1126D" w:rsidP="00D1126D">
            <w:r>
              <w:t>8:30</w:t>
            </w:r>
          </w:p>
        </w:tc>
        <w:tc>
          <w:tcPr>
            <w:tcW w:w="710" w:type="dxa"/>
          </w:tcPr>
          <w:p w:rsidR="00D1126D" w:rsidRDefault="00D1126D" w:rsidP="00D1126D">
            <w:r>
              <w:t>13:15</w:t>
            </w:r>
          </w:p>
        </w:tc>
        <w:tc>
          <w:tcPr>
            <w:tcW w:w="11988" w:type="dxa"/>
          </w:tcPr>
          <w:p w:rsidR="00D1126D" w:rsidRP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Erfassung von Stammdaten(Kunden,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ieferante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ieferanschriften,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Zahlungsbedingungen,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Lagerort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Material, Anwender)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/>
        </w:tc>
        <w:tc>
          <w:tcPr>
            <w:tcW w:w="910" w:type="dxa"/>
          </w:tcPr>
          <w:p w:rsidR="00D1126D" w:rsidRDefault="00D1126D" w:rsidP="00D1126D"/>
        </w:tc>
        <w:tc>
          <w:tcPr>
            <w:tcW w:w="710" w:type="dxa"/>
          </w:tcPr>
          <w:p w:rsidR="00D1126D" w:rsidRDefault="00D1126D" w:rsidP="00D1126D"/>
        </w:tc>
        <w:tc>
          <w:tcPr>
            <w:tcW w:w="11988" w:type="dxa"/>
          </w:tcPr>
          <w:p w:rsidR="00D1126D" w:rsidRP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Erklärung von Betriebsabläufen:  Musterauftrag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erstellung, Vorkalkulation, Kalkulation,  Auftrag, Lieferschein und Rechnung. Artikelanlage,  Eingaben von Zuschnitten,</w:t>
            </w:r>
            <w: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Maschinendaten und Mengen im Scanmodus</w:t>
            </w:r>
          </w:p>
        </w:tc>
      </w:tr>
      <w:tr w:rsidR="001A24FE" w:rsidTr="00D1126D">
        <w:tc>
          <w:tcPr>
            <w:tcW w:w="1526" w:type="dxa"/>
          </w:tcPr>
          <w:p w:rsidR="001A24FE" w:rsidRDefault="001A24FE" w:rsidP="00D1126D"/>
        </w:tc>
        <w:tc>
          <w:tcPr>
            <w:tcW w:w="910" w:type="dxa"/>
          </w:tcPr>
          <w:p w:rsidR="001A24FE" w:rsidRDefault="001A24FE" w:rsidP="00D1126D"/>
        </w:tc>
        <w:tc>
          <w:tcPr>
            <w:tcW w:w="710" w:type="dxa"/>
          </w:tcPr>
          <w:p w:rsidR="001A24FE" w:rsidRDefault="001A24FE" w:rsidP="00D1126D"/>
        </w:tc>
        <w:tc>
          <w:tcPr>
            <w:tcW w:w="11988" w:type="dxa"/>
          </w:tcPr>
          <w:p w:rsidR="001A24FE" w:rsidRPr="00D1126D" w:rsidRDefault="001A24FE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24FE" w:rsidTr="00D1126D">
        <w:tc>
          <w:tcPr>
            <w:tcW w:w="1526" w:type="dxa"/>
          </w:tcPr>
          <w:p w:rsidR="001A24FE" w:rsidRDefault="001A24FE" w:rsidP="00D1126D">
            <w:r>
              <w:t>19.07.2014</w:t>
            </w:r>
          </w:p>
        </w:tc>
        <w:tc>
          <w:tcPr>
            <w:tcW w:w="910" w:type="dxa"/>
          </w:tcPr>
          <w:p w:rsidR="001A24FE" w:rsidRDefault="001A24FE" w:rsidP="00D1126D">
            <w:r>
              <w:t>10:00</w:t>
            </w:r>
          </w:p>
        </w:tc>
        <w:tc>
          <w:tcPr>
            <w:tcW w:w="710" w:type="dxa"/>
          </w:tcPr>
          <w:p w:rsidR="001A24FE" w:rsidRDefault="001A24FE" w:rsidP="00D1126D">
            <w:r>
              <w:t>14:00</w:t>
            </w:r>
          </w:p>
        </w:tc>
        <w:tc>
          <w:tcPr>
            <w:tcW w:w="11988" w:type="dxa"/>
          </w:tcPr>
          <w:p w:rsidR="001A24FE" w:rsidRPr="00D1126D" w:rsidRDefault="001A24FE" w:rsidP="001A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Installation von Conzept16 und Einrichten der Datenbank, Anlage von Vorgängen zur Abrufauftrag, Auftrag, Bedarfsmeldung, Ablauf des Einkaufs, Lagerverwaltung, Maschinen und BDE</w:t>
            </w:r>
          </w:p>
        </w:tc>
      </w:tr>
      <w:tr w:rsidR="001A24FE" w:rsidTr="00D1126D">
        <w:tc>
          <w:tcPr>
            <w:tcW w:w="1526" w:type="dxa"/>
          </w:tcPr>
          <w:p w:rsidR="001A24FE" w:rsidRDefault="001A24FE" w:rsidP="00D1126D">
            <w:r>
              <w:t>20.07.2014</w:t>
            </w:r>
          </w:p>
        </w:tc>
        <w:tc>
          <w:tcPr>
            <w:tcW w:w="910" w:type="dxa"/>
          </w:tcPr>
          <w:p w:rsidR="001A24FE" w:rsidRDefault="001A24FE" w:rsidP="00D1126D">
            <w:r>
              <w:t>8:30</w:t>
            </w:r>
          </w:p>
        </w:tc>
        <w:tc>
          <w:tcPr>
            <w:tcW w:w="710" w:type="dxa"/>
          </w:tcPr>
          <w:p w:rsidR="001A24FE" w:rsidRDefault="001A24FE" w:rsidP="00D1126D">
            <w:r>
              <w:t>13:00</w:t>
            </w:r>
          </w:p>
        </w:tc>
        <w:tc>
          <w:tcPr>
            <w:tcW w:w="11988" w:type="dxa"/>
          </w:tcPr>
          <w:p w:rsidR="001A24FE" w:rsidRDefault="001A24FE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Erklärung zur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Fibu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-Übergabe OPOS du Auswertungen.  Aufgabenstellung an H.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zur selbständigen Erfassung der Vorgänge von Auftrag</w:t>
            </w:r>
            <w:r w:rsidR="00BB2951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anlage, Einkauft, Fertigmeldung, Auslieferung und Rechnungserstellung.</w:t>
            </w:r>
          </w:p>
        </w:tc>
      </w:tr>
      <w:tr w:rsidR="00BB2951" w:rsidTr="00D1126D">
        <w:tc>
          <w:tcPr>
            <w:tcW w:w="1526" w:type="dxa"/>
          </w:tcPr>
          <w:p w:rsidR="00BB2951" w:rsidRDefault="00BB2951" w:rsidP="00D1126D"/>
        </w:tc>
        <w:tc>
          <w:tcPr>
            <w:tcW w:w="910" w:type="dxa"/>
          </w:tcPr>
          <w:p w:rsidR="00BB2951" w:rsidRDefault="00BB2951" w:rsidP="00D1126D"/>
        </w:tc>
        <w:tc>
          <w:tcPr>
            <w:tcW w:w="710" w:type="dxa"/>
          </w:tcPr>
          <w:p w:rsidR="00BB2951" w:rsidRDefault="00BB2951" w:rsidP="00D1126D"/>
        </w:tc>
        <w:tc>
          <w:tcPr>
            <w:tcW w:w="11988" w:type="dxa"/>
          </w:tcPr>
          <w:p w:rsidR="00BB2951" w:rsidRDefault="00BB2951" w:rsidP="001A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951" w:rsidTr="00D1126D">
        <w:tc>
          <w:tcPr>
            <w:tcW w:w="1526" w:type="dxa"/>
          </w:tcPr>
          <w:p w:rsidR="00BB2951" w:rsidRDefault="00BB2951" w:rsidP="00D1126D">
            <w:r>
              <w:t>26.07.2014</w:t>
            </w:r>
          </w:p>
        </w:tc>
        <w:tc>
          <w:tcPr>
            <w:tcW w:w="910" w:type="dxa"/>
          </w:tcPr>
          <w:p w:rsidR="00BB2951" w:rsidRDefault="00BB2951" w:rsidP="00D1126D">
            <w:r>
              <w:t>8:30</w:t>
            </w:r>
          </w:p>
        </w:tc>
        <w:tc>
          <w:tcPr>
            <w:tcW w:w="710" w:type="dxa"/>
          </w:tcPr>
          <w:p w:rsidR="00BB2951" w:rsidRDefault="00BB2951" w:rsidP="00BB2951">
            <w:r>
              <w:t>12:30</w:t>
            </w:r>
          </w:p>
        </w:tc>
        <w:tc>
          <w:tcPr>
            <w:tcW w:w="11988" w:type="dxa"/>
          </w:tcPr>
          <w:p w:rsidR="00BB2951" w:rsidRDefault="00BB2951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Aufgabenstellung an H.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(Kundenbestellung eines Artikels auf Abruf) – Alle notwendigen Vorgänge anlegen und auch die Datenbank so konfigurieren, dass alle Drucke und PDF-Dateien automatisch erzeugt werden </w:t>
            </w:r>
          </w:p>
        </w:tc>
      </w:tr>
      <w:tr w:rsidR="00BB2951" w:rsidTr="00D1126D">
        <w:tc>
          <w:tcPr>
            <w:tcW w:w="1526" w:type="dxa"/>
          </w:tcPr>
          <w:p w:rsidR="00BB2951" w:rsidRDefault="00BB2951" w:rsidP="00D1126D">
            <w:r>
              <w:t>27.07.2014</w:t>
            </w:r>
          </w:p>
        </w:tc>
        <w:tc>
          <w:tcPr>
            <w:tcW w:w="910" w:type="dxa"/>
          </w:tcPr>
          <w:p w:rsidR="00BB2951" w:rsidRDefault="00BB2951" w:rsidP="00D1126D">
            <w:r>
              <w:t>8:30</w:t>
            </w:r>
          </w:p>
        </w:tc>
        <w:tc>
          <w:tcPr>
            <w:tcW w:w="710" w:type="dxa"/>
          </w:tcPr>
          <w:p w:rsidR="00BB2951" w:rsidRDefault="00BB2951" w:rsidP="00BB2951">
            <w:r>
              <w:t>13:00</w:t>
            </w:r>
          </w:p>
        </w:tc>
        <w:tc>
          <w:tcPr>
            <w:tcW w:w="11988" w:type="dxa"/>
          </w:tcPr>
          <w:p w:rsidR="00BB2951" w:rsidRDefault="00BB2951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Aufgabenstellung : 3 Weitere Abruf des Kunden zum gestrigen Abrufauftrag  für spätere Lieferungen , Festigung des Ablaufs im Betrieb..   Weitere Aufgaben werden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H 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zur Übung  zugemailt. </w:t>
            </w:r>
          </w:p>
        </w:tc>
      </w:tr>
      <w:tr w:rsidR="00BB5075" w:rsidTr="00D1126D">
        <w:tc>
          <w:tcPr>
            <w:tcW w:w="1526" w:type="dxa"/>
          </w:tcPr>
          <w:p w:rsidR="00BB5075" w:rsidRDefault="00BB5075" w:rsidP="00D1126D">
            <w:r>
              <w:t>15.08.2014</w:t>
            </w:r>
          </w:p>
        </w:tc>
        <w:tc>
          <w:tcPr>
            <w:tcW w:w="910" w:type="dxa"/>
          </w:tcPr>
          <w:p w:rsidR="00BB5075" w:rsidRDefault="00BB5075" w:rsidP="00D1126D">
            <w:r>
              <w:t>9:00</w:t>
            </w:r>
          </w:p>
        </w:tc>
        <w:tc>
          <w:tcPr>
            <w:tcW w:w="710" w:type="dxa"/>
          </w:tcPr>
          <w:p w:rsidR="00BB5075" w:rsidRDefault="00BB5075" w:rsidP="00BB2951">
            <w:r>
              <w:t>13:00</w:t>
            </w:r>
          </w:p>
        </w:tc>
        <w:tc>
          <w:tcPr>
            <w:tcW w:w="11988" w:type="dxa"/>
          </w:tcPr>
          <w:p w:rsidR="00BB5075" w:rsidRDefault="00BB5075" w:rsidP="00BB50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Einblick in Datenbankparameter, Erstellen von Selektionen, Listenformaten, Transfers.  Einblick in die Datenstruktur, Designer und Objekte und deren Definition. Durchspielen eines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Ablauf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 einem einfachen Stammdatenmodul um den das Zusammenspiel der Systemprozeduren und ModulProzeduren zu verstehen. Erklärung der Zusammenhänge und Abläufe. </w:t>
            </w:r>
          </w:p>
        </w:tc>
      </w:tr>
    </w:tbl>
    <w:p w:rsidR="00F93629" w:rsidRPr="00D1126D" w:rsidRDefault="00F93629" w:rsidP="00D1126D"/>
    <w:sectPr w:rsidR="00F93629" w:rsidRPr="00D1126D" w:rsidSect="00D1126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1126D"/>
    <w:rsid w:val="00050537"/>
    <w:rsid w:val="00143B9E"/>
    <w:rsid w:val="00165931"/>
    <w:rsid w:val="001A24FE"/>
    <w:rsid w:val="002E3DB6"/>
    <w:rsid w:val="00513CDD"/>
    <w:rsid w:val="0059121A"/>
    <w:rsid w:val="00633F44"/>
    <w:rsid w:val="006607FA"/>
    <w:rsid w:val="006B013D"/>
    <w:rsid w:val="00867494"/>
    <w:rsid w:val="00AB5F57"/>
    <w:rsid w:val="00BB2951"/>
    <w:rsid w:val="00BB5075"/>
    <w:rsid w:val="00C928CE"/>
    <w:rsid w:val="00D1126D"/>
    <w:rsid w:val="00DA55CD"/>
    <w:rsid w:val="00F2171E"/>
    <w:rsid w:val="00F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13D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11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1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4</cp:revision>
  <dcterms:created xsi:type="dcterms:W3CDTF">2014-07-14T07:56:00Z</dcterms:created>
  <dcterms:modified xsi:type="dcterms:W3CDTF">2014-08-16T11:06:00Z</dcterms:modified>
</cp:coreProperties>
</file>